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00" w:lineRule="exact"/>
        <w:jc w:val="center"/>
        <w:rPr>
          <w:color w:val="000000" w:themeColor="text1"/>
          <w:sz w:val="32"/>
          <w:szCs w:val="32"/>
          <w:highlight w:val="none"/>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肥东县浮槎山文化旅游项目修筑林业直服设施使用林地规划方案编制项目</w:t>
      </w:r>
      <w:r>
        <w:rPr>
          <w:color w:val="000000" w:themeColor="text1"/>
          <w:sz w:val="32"/>
          <w:szCs w:val="32"/>
          <w:highlight w:val="none"/>
          <w14:textFill>
            <w14:solidFill>
              <w14:schemeClr w14:val="tx1"/>
            </w14:solidFill>
          </w14:textFill>
        </w:rPr>
        <w:t>竞争性磋商公告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肥东县浮槎山文化旅游项目修筑林业直服设施使用林地规划方案编制项目</w:t>
      </w:r>
      <w:r>
        <w:rPr>
          <w:rFonts w:ascii="宋体" w:hAnsi="宋体" w:eastAsia="宋体"/>
          <w:color w:val="000000" w:themeColor="text1"/>
          <w:szCs w:val="21"/>
          <w:highlight w:val="none"/>
          <w:shd w:val="clear" w:color="auto" w:fill="FFFFFF"/>
          <w14:textFill>
            <w14:solidFill>
              <w14:schemeClr w14:val="tx1"/>
            </w14:solidFill>
          </w14:textFill>
        </w:rPr>
        <w:t>进行竞争性磋商，欢迎具备条件的国内供应商参加磋商。</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HCZB-2023-ZB1605</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肥东县浮槎山文化旅游项目修筑林业直服设施使用林地规划方案编制项目</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肥东县</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为保障浮槎山景区依法合规利用林业政策，保障景区森林防火安全,招标内容主要依据《修筑直接为林业生产经营服务的工程设施占用林地标准（试行）》（征求意见稿）梳理浮槎山景区现状林业用地，对浮槎山景区近远期林业直服设施需求与林业用地现状结合编制规划方案</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招标范围：</w:t>
      </w:r>
      <w:r>
        <w:rPr>
          <w:rFonts w:hint="eastAsia" w:hAnsi="宋体" w:cs="宋体"/>
          <w:color w:val="auto"/>
          <w:szCs w:val="18"/>
          <w:highlight w:val="none"/>
        </w:rPr>
        <w:t>包括但不限于编制规划方案并配合招标方过程中所有的论证、评审、评估工作</w:t>
      </w:r>
      <w:r>
        <w:rPr>
          <w:rFonts w:hint="eastAsia" w:hAnsi="宋体" w:cs="宋体"/>
          <w:color w:val="auto"/>
          <w:szCs w:val="18"/>
          <w:highlight w:val="none"/>
          <w:lang w:val="en-US" w:eastAsia="zh-CN"/>
        </w:rPr>
        <w:t>。</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29.5万元。</w:t>
      </w:r>
    </w:p>
    <w:p>
      <w:pPr>
        <w:autoSpaceDE w:val="0"/>
        <w:autoSpaceDN w:val="0"/>
        <w:adjustRightInd w:val="0"/>
        <w:spacing w:line="480" w:lineRule="exact"/>
        <w:ind w:left="210" w:leftChars="100" w:firstLine="420" w:firstLineChars="2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olor w:val="auto"/>
          <w:szCs w:val="21"/>
          <w:highlight w:val="none"/>
          <w:shd w:val="clear" w:color="auto" w:fill="FFFFFF"/>
          <w:lang w:eastAsia="zh-CN"/>
        </w:rPr>
        <w:t>服务期限：具体设计任务下达后不超过30日历天内提交该项目方案；总服务期限约60天。</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.采购方式：竞争性磋商。</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.供应商须具有独立法人资格，提供有效的营业执照、税务登记证、组织机构代码证（三证合一的仅提供相应的营业执照）；</w:t>
      </w:r>
    </w:p>
    <w:p>
      <w:pPr>
        <w:pStyle w:val="3"/>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rPr>
        <w:t>2</w:t>
      </w:r>
      <w:r>
        <w:rPr>
          <w:rFonts w:hint="eastAsia" w:ascii="宋体" w:hAnsi="宋体" w:eastAsia="宋体"/>
          <w:color w:val="auto"/>
          <w:szCs w:val="21"/>
          <w:highlight w:val="none"/>
          <w:shd w:val="clear" w:color="auto" w:fill="FFFFFF"/>
          <w:lang w:eastAsia="zh-CN"/>
        </w:rPr>
        <w:t>.供应商资质要求</w:t>
      </w:r>
      <w:r>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t>：</w:t>
      </w:r>
      <w:bookmarkStart w:id="14" w:name="_GoBack"/>
      <w:bookmarkEnd w:id="14"/>
    </w:p>
    <w:p>
      <w:pPr>
        <w:pStyle w:val="3"/>
        <w:spacing w:line="480" w:lineRule="exact"/>
        <w:ind w:firstLine="630" w:firstLineChars="300"/>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t>（1）具有测绘乙级资质；</w:t>
      </w:r>
    </w:p>
    <w:p>
      <w:pPr>
        <w:pStyle w:val="3"/>
        <w:spacing w:line="480" w:lineRule="exact"/>
        <w:ind w:firstLine="630" w:firstLineChars="300"/>
        <w:rPr>
          <w:rFonts w:hint="default"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t>（2）经营范围含林业调查规划设计或林业工程规划设计或林业专业及辅助性活动。</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pStyle w:val="3"/>
        <w:spacing w:line="480" w:lineRule="exact"/>
        <w:ind w:firstLine="630" w:firstLineChars="300"/>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t xml:space="preserve">4.本项目接受联合体投标。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获取磋商文件时间</w:t>
      </w:r>
    </w:p>
    <w:p>
      <w:pPr>
        <w:pStyle w:val="6"/>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11</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6</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11</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16</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0元。磋商文件售后不退。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3</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11</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17</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14</w:t>
      </w:r>
      <w:r>
        <w:rPr>
          <w:rFonts w:hint="eastAsia" w:ascii="宋体" w:hAnsi="宋体"/>
          <w:bCs/>
          <w:color w:val="auto"/>
          <w:szCs w:val="21"/>
          <w:highlight w:val="none"/>
          <w:u w:val="single"/>
        </w:rPr>
        <w:t>点30分</w:t>
      </w:r>
      <w:r>
        <w:rPr>
          <w:rFonts w:hint="eastAsia" w:ascii="宋体" w:hAnsi="宋体"/>
          <w:bCs/>
          <w:color w:val="auto"/>
          <w:szCs w:val="21"/>
          <w:highlight w:val="none"/>
        </w:rPr>
        <w:t>（北京时间）</w:t>
      </w:r>
    </w:p>
    <w:p>
      <w:pPr>
        <w:pStyle w:val="6"/>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635"/>
      <w:bookmarkStart w:id="1" w:name="_Toc35393804"/>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28359018"/>
      <w:bookmarkStart w:id="3" w:name="_Toc35393636"/>
      <w:bookmarkStart w:id="4" w:name="_Toc28359095"/>
      <w:bookmarkStart w:id="5" w:name="_Toc35393805"/>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6"/>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35393806"/>
      <w:bookmarkStart w:id="7" w:name="_Toc28359096"/>
      <w:bookmarkStart w:id="8" w:name="_Toc35393637"/>
      <w:bookmarkStart w:id="9" w:name="_Toc28359019"/>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35393807"/>
      <w:bookmarkStart w:id="11" w:name="_Toc35393638"/>
      <w:bookmarkStart w:id="12" w:name="_Toc28359020"/>
      <w:bookmarkStart w:id="13" w:name="_Toc28359097"/>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陈工</w:t>
      </w:r>
    </w:p>
    <w:p>
      <w:pPr>
        <w:ind w:firstLine="420" w:firstLineChars="200"/>
      </w:pPr>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18155153891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4A72CE1"/>
    <w:rsid w:val="0C7821FA"/>
    <w:rsid w:val="1AE77B78"/>
    <w:rsid w:val="2793494B"/>
    <w:rsid w:val="51583E9B"/>
    <w:rsid w:val="54747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hAnsi="Courier New"/>
    </w:rPr>
  </w:style>
  <w:style w:type="paragraph" w:customStyle="1" w:styleId="6">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1390</Words>
  <Characters>1635</Characters>
  <Lines>0</Lines>
  <Paragraphs>0</Paragraphs>
  <TotalTime>4</TotalTime>
  <ScaleCrop>false</ScaleCrop>
  <LinksUpToDate>false</LinksUpToDate>
  <CharactersWithSpaces>1647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2023-11-06T11:28:10Z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F4DF3D190B324A749AAD200DEDD84791_12</vt:lpwstr>
  </property>
</Properties>
</file>